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F8" w:rsidRDefault="008724F8" w:rsidP="008724F8">
      <w:pPr>
        <w:jc w:val="both"/>
        <w:rPr>
          <w:b/>
          <w:i/>
        </w:rPr>
      </w:pPr>
      <w:r>
        <w:t xml:space="preserve">,                                                                         </w:t>
      </w:r>
      <w:r>
        <w:rPr>
          <w:noProof/>
        </w:rPr>
        <w:drawing>
          <wp:inline distT="0" distB="0" distL="0" distR="0" wp14:anchorId="7B38CD9F" wp14:editId="4D35362F">
            <wp:extent cx="61468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B50B02">
        <w:rPr>
          <w:b/>
          <w:i/>
        </w:rPr>
        <w:t xml:space="preserve"> </w:t>
      </w:r>
    </w:p>
    <w:p w:rsidR="008724F8" w:rsidRPr="00B50B02" w:rsidRDefault="008724F8" w:rsidP="008724F8">
      <w:pPr>
        <w:jc w:val="both"/>
        <w:rPr>
          <w:sz w:val="20"/>
          <w:szCs w:val="20"/>
        </w:rPr>
      </w:pPr>
    </w:p>
    <w:p w:rsidR="008724F8" w:rsidRPr="007220C5" w:rsidRDefault="008724F8" w:rsidP="008724F8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АДМИНИСТРАЦИЯ</w:t>
      </w:r>
    </w:p>
    <w:p w:rsidR="008724F8" w:rsidRPr="007220C5" w:rsidRDefault="008724F8" w:rsidP="008724F8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МУНИЦИПАЛЬНОГО ОБРАЗОВАНИЯ</w:t>
      </w:r>
    </w:p>
    <w:p w:rsidR="008724F8" w:rsidRPr="007220C5" w:rsidRDefault="008724F8" w:rsidP="008724F8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БИЛИБИНСКИЙ МУНИЦИПАЛЬНЫЙ РАЙОН</w:t>
      </w:r>
    </w:p>
    <w:p w:rsidR="008724F8" w:rsidRPr="007220C5" w:rsidRDefault="008724F8" w:rsidP="008724F8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ЧУКОТСКОГО АВТОНОМНОГО ОКРУГА</w:t>
      </w:r>
    </w:p>
    <w:p w:rsidR="008724F8" w:rsidRPr="00713108" w:rsidRDefault="008724F8" w:rsidP="008724F8">
      <w:pPr>
        <w:jc w:val="center"/>
        <w:rPr>
          <w:b/>
          <w:sz w:val="32"/>
          <w:szCs w:val="32"/>
        </w:rPr>
      </w:pPr>
    </w:p>
    <w:p w:rsidR="008724F8" w:rsidRPr="007220C5" w:rsidRDefault="008724F8" w:rsidP="008724F8">
      <w:pPr>
        <w:jc w:val="center"/>
        <w:rPr>
          <w:b/>
          <w:sz w:val="32"/>
          <w:szCs w:val="32"/>
        </w:rPr>
      </w:pPr>
      <w:proofErr w:type="gramStart"/>
      <w:r w:rsidRPr="007220C5">
        <w:rPr>
          <w:b/>
          <w:sz w:val="32"/>
          <w:szCs w:val="32"/>
        </w:rPr>
        <w:t>П</w:t>
      </w:r>
      <w:proofErr w:type="gramEnd"/>
      <w:r w:rsidRPr="007220C5">
        <w:rPr>
          <w:b/>
          <w:sz w:val="32"/>
          <w:szCs w:val="32"/>
        </w:rPr>
        <w:t xml:space="preserve"> О С Т А Н О В Л Е Н И Е </w:t>
      </w:r>
    </w:p>
    <w:p w:rsidR="008724F8" w:rsidRPr="00713108" w:rsidRDefault="008724F8" w:rsidP="008724F8">
      <w:pPr>
        <w:jc w:val="center"/>
        <w:rPr>
          <w:b/>
          <w:sz w:val="32"/>
          <w:szCs w:val="32"/>
        </w:rPr>
      </w:pPr>
    </w:p>
    <w:p w:rsidR="008724F8" w:rsidRPr="00B1169A" w:rsidRDefault="008724F8" w:rsidP="008724F8">
      <w:pPr>
        <w:jc w:val="center"/>
        <w:rPr>
          <w:b/>
        </w:rPr>
      </w:pPr>
    </w:p>
    <w:tbl>
      <w:tblPr>
        <w:tblW w:w="10534" w:type="dxa"/>
        <w:tblLook w:val="01E0" w:firstRow="1" w:lastRow="1" w:firstColumn="1" w:lastColumn="1" w:noHBand="0" w:noVBand="0"/>
      </w:tblPr>
      <w:tblGrid>
        <w:gridCol w:w="3510"/>
        <w:gridCol w:w="2205"/>
        <w:gridCol w:w="4819"/>
      </w:tblGrid>
      <w:tr w:rsidR="008724F8" w:rsidRPr="007220C5" w:rsidTr="00D92134">
        <w:tc>
          <w:tcPr>
            <w:tcW w:w="3510" w:type="dxa"/>
            <w:shd w:val="clear" w:color="auto" w:fill="auto"/>
          </w:tcPr>
          <w:p w:rsidR="008724F8" w:rsidRPr="007220C5" w:rsidRDefault="008724F8" w:rsidP="000741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220C5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07412E">
              <w:rPr>
                <w:sz w:val="26"/>
                <w:szCs w:val="26"/>
              </w:rPr>
              <w:t xml:space="preserve">26 декабря </w:t>
            </w:r>
            <w:r>
              <w:rPr>
                <w:sz w:val="26"/>
                <w:szCs w:val="26"/>
              </w:rPr>
              <w:t>202</w:t>
            </w:r>
            <w:r w:rsidR="00E7733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05" w:type="dxa"/>
            <w:tcBorders>
              <w:left w:val="nil"/>
            </w:tcBorders>
            <w:shd w:val="clear" w:color="auto" w:fill="auto"/>
          </w:tcPr>
          <w:p w:rsidR="008724F8" w:rsidRPr="007220C5" w:rsidRDefault="008724F8" w:rsidP="0007412E">
            <w:pPr>
              <w:rPr>
                <w:sz w:val="26"/>
                <w:szCs w:val="26"/>
              </w:rPr>
            </w:pPr>
            <w:r w:rsidRPr="007220C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07412E">
              <w:rPr>
                <w:sz w:val="26"/>
                <w:szCs w:val="26"/>
              </w:rPr>
              <w:t>1149</w:t>
            </w:r>
          </w:p>
        </w:tc>
        <w:tc>
          <w:tcPr>
            <w:tcW w:w="4819" w:type="dxa"/>
            <w:shd w:val="clear" w:color="auto" w:fill="auto"/>
          </w:tcPr>
          <w:p w:rsidR="008724F8" w:rsidRPr="007220C5" w:rsidRDefault="008724F8" w:rsidP="00D921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Pr="007220C5">
              <w:rPr>
                <w:sz w:val="26"/>
                <w:szCs w:val="26"/>
              </w:rPr>
              <w:t>г. Билибино</w:t>
            </w:r>
          </w:p>
        </w:tc>
      </w:tr>
    </w:tbl>
    <w:p w:rsidR="008724F8" w:rsidRDefault="008724F8" w:rsidP="008724F8">
      <w:pPr>
        <w:jc w:val="both"/>
        <w:rPr>
          <w:sz w:val="26"/>
          <w:szCs w:val="26"/>
        </w:rPr>
      </w:pPr>
    </w:p>
    <w:p w:rsidR="008724F8" w:rsidRPr="00B1169A" w:rsidRDefault="008724F8" w:rsidP="008724F8">
      <w:pPr>
        <w:tabs>
          <w:tab w:val="left" w:pos="3290"/>
        </w:tabs>
        <w:ind w:right="456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>О внесении изменени</w:t>
      </w:r>
      <w:r>
        <w:rPr>
          <w:color w:val="000000"/>
          <w:sz w:val="26"/>
          <w:szCs w:val="26"/>
          <w:lang w:bidi="ru-RU"/>
        </w:rPr>
        <w:t>й</w:t>
      </w:r>
      <w:r w:rsidRPr="00B1169A">
        <w:rPr>
          <w:color w:val="000000"/>
          <w:sz w:val="26"/>
          <w:szCs w:val="26"/>
          <w:lang w:bidi="ru-RU"/>
        </w:rPr>
        <w:t xml:space="preserve"> в Постановление Администрации</w:t>
      </w:r>
      <w:r w:rsidRPr="00B1169A">
        <w:rPr>
          <w:color w:val="000000"/>
          <w:sz w:val="26"/>
          <w:szCs w:val="26"/>
          <w:lang w:bidi="ru-RU"/>
        </w:rPr>
        <w:tab/>
        <w:t>муниципального</w:t>
      </w:r>
    </w:p>
    <w:p w:rsidR="008724F8" w:rsidRDefault="008724F8" w:rsidP="008724F8">
      <w:pPr>
        <w:ind w:right="456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 xml:space="preserve">образования Билибинский муниципальный район от </w:t>
      </w:r>
      <w:r>
        <w:rPr>
          <w:color w:val="000000"/>
          <w:sz w:val="26"/>
          <w:szCs w:val="26"/>
          <w:lang w:bidi="ru-RU"/>
        </w:rPr>
        <w:t>10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октября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>
        <w:rPr>
          <w:color w:val="000000"/>
          <w:sz w:val="26"/>
          <w:szCs w:val="26"/>
          <w:lang w:bidi="ru-RU"/>
        </w:rPr>
        <w:t>24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>
        <w:rPr>
          <w:color w:val="000000"/>
          <w:sz w:val="26"/>
          <w:szCs w:val="26"/>
          <w:lang w:bidi="ru-RU"/>
        </w:rPr>
        <w:t>937</w:t>
      </w:r>
    </w:p>
    <w:p w:rsidR="008724F8" w:rsidRPr="00B1169A" w:rsidRDefault="008724F8" w:rsidP="008724F8">
      <w:pPr>
        <w:ind w:right="4560"/>
        <w:jc w:val="both"/>
        <w:rPr>
          <w:sz w:val="26"/>
          <w:szCs w:val="26"/>
        </w:rPr>
      </w:pPr>
    </w:p>
    <w:p w:rsidR="008724F8" w:rsidRDefault="008724F8" w:rsidP="008724F8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</w:t>
      </w:r>
      <w:r>
        <w:rPr>
          <w:color w:val="000000"/>
          <w:sz w:val="26"/>
          <w:szCs w:val="26"/>
          <w:lang w:bidi="ru-RU"/>
        </w:rPr>
        <w:t>льством Российской Федерации, в целях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</w:t>
      </w:r>
      <w:r w:rsidRPr="00B1169A">
        <w:rPr>
          <w:color w:val="000000"/>
          <w:sz w:val="26"/>
          <w:szCs w:val="26"/>
          <w:lang w:bidi="ru-RU"/>
        </w:rPr>
        <w:t>, Администрация</w:t>
      </w:r>
      <w:r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>
        <w:rPr>
          <w:color w:val="000000"/>
          <w:sz w:val="26"/>
          <w:szCs w:val="26"/>
          <w:lang w:bidi="ru-RU"/>
        </w:rPr>
        <w:t>,</w:t>
      </w:r>
      <w:r w:rsidRPr="00B1169A">
        <w:rPr>
          <w:color w:val="000000"/>
          <w:sz w:val="26"/>
          <w:szCs w:val="26"/>
          <w:lang w:bidi="ru-RU"/>
        </w:rPr>
        <w:t xml:space="preserve"> </w:t>
      </w:r>
    </w:p>
    <w:p w:rsidR="008724F8" w:rsidRPr="00B1169A" w:rsidRDefault="008724F8" w:rsidP="008724F8">
      <w:pPr>
        <w:tabs>
          <w:tab w:val="left" w:pos="5821"/>
          <w:tab w:val="left" w:pos="6113"/>
        </w:tabs>
        <w:ind w:firstLine="780"/>
        <w:jc w:val="both"/>
        <w:rPr>
          <w:rStyle w:val="2"/>
          <w:spacing w:val="20"/>
          <w:sz w:val="26"/>
          <w:szCs w:val="26"/>
        </w:rPr>
      </w:pPr>
      <w:r w:rsidRPr="00B1169A">
        <w:rPr>
          <w:rStyle w:val="2"/>
          <w:spacing w:val="20"/>
          <w:sz w:val="26"/>
          <w:szCs w:val="26"/>
        </w:rPr>
        <w:t>ПОСТАНОВЛЯЕТ:</w:t>
      </w:r>
    </w:p>
    <w:p w:rsidR="008724F8" w:rsidRPr="00B1169A" w:rsidRDefault="008724F8" w:rsidP="008724F8">
      <w:pPr>
        <w:tabs>
          <w:tab w:val="left" w:pos="5821"/>
          <w:tab w:val="left" w:pos="6113"/>
        </w:tabs>
        <w:ind w:firstLine="780"/>
        <w:jc w:val="both"/>
        <w:rPr>
          <w:sz w:val="26"/>
          <w:szCs w:val="26"/>
        </w:rPr>
      </w:pPr>
    </w:p>
    <w:p w:rsidR="008724F8" w:rsidRPr="00081F6E" w:rsidRDefault="008724F8" w:rsidP="008724F8">
      <w:pPr>
        <w:pStyle w:val="21"/>
        <w:numPr>
          <w:ilvl w:val="0"/>
          <w:numId w:val="1"/>
        </w:numPr>
        <w:shd w:val="clear" w:color="auto" w:fill="auto"/>
        <w:spacing w:line="295" w:lineRule="exact"/>
        <w:ind w:firstLine="708"/>
      </w:pPr>
      <w:proofErr w:type="gramStart"/>
      <w:r w:rsidRPr="00081F6E">
        <w:rPr>
          <w:color w:val="000000"/>
          <w:lang w:bidi="ru-RU"/>
        </w:rPr>
        <w:t xml:space="preserve">Внести в </w:t>
      </w:r>
      <w:r>
        <w:rPr>
          <w:color w:val="000000"/>
          <w:lang w:bidi="ru-RU"/>
        </w:rPr>
        <w:t>П</w:t>
      </w:r>
      <w:r w:rsidRPr="00081F6E">
        <w:rPr>
          <w:color w:val="000000"/>
          <w:lang w:bidi="ru-RU"/>
        </w:rPr>
        <w:t>остановление Администрации муниципального образования Билибинский муниципальный район от 10 октября 2024 года № 937                                 «</w:t>
      </w:r>
      <w:r>
        <w:t>Об утверждении Порядка предоставления дополнительной меры социальной поддержки гражданам, призванным из военного комиссариата Билибинского района Чукотского автономного округа, заключившим контракт о прохождении военной службы с 1 октября 2024 года по 25 декабря 2024 года, для участия в Специальной военной операции на территориях Украины, Донецкой Народной</w:t>
      </w:r>
      <w:proofErr w:type="gramEnd"/>
      <w:r>
        <w:t xml:space="preserve"> Республики и Луганской Народной Республики</w:t>
      </w:r>
      <w:r w:rsidRPr="00081F6E">
        <w:rPr>
          <w:color w:val="000000"/>
          <w:lang w:bidi="ru-RU"/>
        </w:rPr>
        <w:t>» следующ</w:t>
      </w:r>
      <w:r>
        <w:rPr>
          <w:color w:val="000000"/>
          <w:lang w:bidi="ru-RU"/>
        </w:rPr>
        <w:t>и</w:t>
      </w:r>
      <w:r w:rsidRPr="00081F6E">
        <w:rPr>
          <w:color w:val="000000"/>
          <w:lang w:bidi="ru-RU"/>
        </w:rPr>
        <w:t>е изменени</w:t>
      </w:r>
      <w:r>
        <w:rPr>
          <w:color w:val="000000"/>
          <w:lang w:bidi="ru-RU"/>
        </w:rPr>
        <w:t>я</w:t>
      </w:r>
      <w:r w:rsidRPr="00081F6E">
        <w:rPr>
          <w:color w:val="000000"/>
          <w:lang w:bidi="ru-RU"/>
        </w:rPr>
        <w:t>:</w:t>
      </w:r>
    </w:p>
    <w:p w:rsidR="008724F8" w:rsidRDefault="008724F8" w:rsidP="008724F8">
      <w:pPr>
        <w:pStyle w:val="21"/>
        <w:numPr>
          <w:ilvl w:val="1"/>
          <w:numId w:val="1"/>
        </w:numPr>
        <w:shd w:val="clear" w:color="auto" w:fill="auto"/>
        <w:spacing w:line="295" w:lineRule="exact"/>
        <w:ind w:firstLine="691"/>
      </w:pPr>
      <w:r>
        <w:t xml:space="preserve">Наименование постановления изложить в следующей редакции: </w:t>
      </w:r>
      <w:proofErr w:type="gramStart"/>
      <w:r>
        <w:t xml:space="preserve">«Об утверждении Порядка предоставления дополнительной меры социальной поддержки гражданам, призванным </w:t>
      </w:r>
      <w:r w:rsidRPr="00340408">
        <w:t>из военн</w:t>
      </w:r>
      <w:r>
        <w:t>ого</w:t>
      </w:r>
      <w:r w:rsidRPr="00340408">
        <w:t xml:space="preserve"> комиссариат</w:t>
      </w:r>
      <w:r>
        <w:t>а</w:t>
      </w:r>
      <w:r w:rsidRPr="00340408">
        <w:t xml:space="preserve"> Чукотского автономного округа</w:t>
      </w:r>
      <w:r>
        <w:t xml:space="preserve"> (Анадырского района) 3 разряда </w:t>
      </w:r>
      <w:r w:rsidRPr="00340408">
        <w:t>и Магаданской области по инициативе и в интересах администрации муниципального образования Билибинский муниципальный район</w:t>
      </w:r>
      <w:r>
        <w:t>, заключившим контракт о прохождении военной службы с 1 октября 2024 года по 31 декабря 2025 года, для участия в Специальной военной операции на территориях Украины, Донецкой</w:t>
      </w:r>
      <w:proofErr w:type="gramEnd"/>
      <w:r>
        <w:t xml:space="preserve"> Народной Республики и Луганской Народной Республики»;</w:t>
      </w:r>
    </w:p>
    <w:p w:rsidR="008724F8" w:rsidRPr="000B4C6D" w:rsidRDefault="008724F8" w:rsidP="008724F8">
      <w:pPr>
        <w:pStyle w:val="a6"/>
        <w:widowControl w:val="0"/>
        <w:numPr>
          <w:ilvl w:val="1"/>
          <w:numId w:val="1"/>
        </w:numPr>
        <w:tabs>
          <w:tab w:val="left" w:pos="1379"/>
        </w:tabs>
        <w:spacing w:line="302" w:lineRule="exact"/>
        <w:ind w:left="0" w:firstLine="709"/>
        <w:jc w:val="both"/>
      </w:pPr>
      <w:r w:rsidRPr="000B4C6D">
        <w:rPr>
          <w:color w:val="000000"/>
          <w:sz w:val="26"/>
          <w:szCs w:val="26"/>
          <w:lang w:bidi="ru-RU"/>
        </w:rPr>
        <w:t xml:space="preserve">Пункт 1 постановления изложить в следующей редакции:             </w:t>
      </w:r>
      <w:proofErr w:type="gramStart"/>
      <w:r w:rsidRPr="000B4C6D">
        <w:rPr>
          <w:color w:val="000000"/>
          <w:sz w:val="26"/>
          <w:szCs w:val="26"/>
          <w:lang w:bidi="ru-RU"/>
        </w:rPr>
        <w:t>«</w:t>
      </w:r>
      <w:r w:rsidRPr="000B4C6D">
        <w:rPr>
          <w:sz w:val="26"/>
          <w:szCs w:val="26"/>
        </w:rPr>
        <w:t xml:space="preserve">Утвердить Порядок предоставления дополнительной меры социальной поддержки гражданам, призванным из военного комиссариата Чукотского автономного округа (Анадырского района) 3 разряда и Магаданской области по инициативе и в интересах администрации муниципального образования Билибинский муниципальный район, </w:t>
      </w:r>
      <w:r w:rsidRPr="000B4C6D">
        <w:rPr>
          <w:sz w:val="26"/>
          <w:szCs w:val="26"/>
        </w:rPr>
        <w:lastRenderedPageBreak/>
        <w:t xml:space="preserve">заключившим контракт о прохождении военной службы с 1 октября 2024 года по </w:t>
      </w:r>
      <w:r>
        <w:rPr>
          <w:sz w:val="26"/>
          <w:szCs w:val="26"/>
        </w:rPr>
        <w:t>31</w:t>
      </w:r>
      <w:r w:rsidRPr="000B4C6D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5</w:t>
      </w:r>
      <w:r w:rsidRPr="000B4C6D">
        <w:rPr>
          <w:sz w:val="26"/>
          <w:szCs w:val="26"/>
        </w:rPr>
        <w:t xml:space="preserve"> года, для участия в Специальной военной операции на территориях Украины, Донецкой Народной</w:t>
      </w:r>
      <w:proofErr w:type="gramEnd"/>
      <w:r w:rsidRPr="000B4C6D">
        <w:rPr>
          <w:sz w:val="26"/>
          <w:szCs w:val="26"/>
        </w:rPr>
        <w:t xml:space="preserve"> Республики и Луганской Народной Республики согласно приложению к настоящему постановлению</w:t>
      </w:r>
      <w:r w:rsidRPr="000B4C6D">
        <w:rPr>
          <w:color w:val="000000"/>
          <w:sz w:val="26"/>
          <w:szCs w:val="26"/>
          <w:lang w:bidi="ru-RU"/>
        </w:rPr>
        <w:t>»;</w:t>
      </w:r>
    </w:p>
    <w:p w:rsidR="008724F8" w:rsidRPr="000B4C6D" w:rsidRDefault="008724F8" w:rsidP="008724F8">
      <w:pPr>
        <w:pStyle w:val="a6"/>
        <w:widowControl w:val="0"/>
        <w:numPr>
          <w:ilvl w:val="1"/>
          <w:numId w:val="1"/>
        </w:numPr>
        <w:tabs>
          <w:tab w:val="left" w:pos="1379"/>
        </w:tabs>
        <w:spacing w:line="302" w:lineRule="exact"/>
        <w:ind w:left="0" w:firstLine="709"/>
        <w:jc w:val="both"/>
      </w:pPr>
      <w:r w:rsidRPr="000B4C6D">
        <w:rPr>
          <w:color w:val="000000"/>
          <w:sz w:val="26"/>
          <w:szCs w:val="26"/>
          <w:lang w:bidi="ru-RU"/>
        </w:rPr>
        <w:t xml:space="preserve">Пункт 1.1. </w:t>
      </w:r>
      <w:r>
        <w:rPr>
          <w:color w:val="000000"/>
          <w:sz w:val="26"/>
          <w:szCs w:val="26"/>
          <w:lang w:bidi="ru-RU"/>
        </w:rPr>
        <w:t>Порядка к постановлению</w:t>
      </w:r>
      <w:r w:rsidRPr="000B4C6D">
        <w:rPr>
          <w:color w:val="000000"/>
          <w:sz w:val="26"/>
          <w:szCs w:val="26"/>
          <w:lang w:bidi="ru-RU"/>
        </w:rPr>
        <w:t xml:space="preserve"> изложить в следующей редакции: </w:t>
      </w:r>
      <w:proofErr w:type="gramStart"/>
      <w:r w:rsidRPr="000B4C6D">
        <w:rPr>
          <w:color w:val="000000"/>
          <w:sz w:val="26"/>
          <w:szCs w:val="26"/>
          <w:lang w:bidi="ru-RU"/>
        </w:rPr>
        <w:t>«</w:t>
      </w:r>
      <w:r w:rsidRPr="000B4C6D">
        <w:rPr>
          <w:sz w:val="26"/>
          <w:szCs w:val="26"/>
        </w:rPr>
        <w:t xml:space="preserve">Настоящий Порядок определяет порядок и условия оказания дополнительной меры социальной поддержки в виде единовременной материальной помощи (далее - единовременная материальная помощь) гражданам, призванным из  военного комиссариата Чукотского автономного округа (Анадырского района) 3 разряда и Магаданской области по инициативе и в интересах администрации муниципального образования Билибинский муниципальный район, заключившим контракт о прохождении военной службы с 1 октября 2024 года по </w:t>
      </w:r>
      <w:r>
        <w:rPr>
          <w:sz w:val="26"/>
          <w:szCs w:val="26"/>
        </w:rPr>
        <w:t>31</w:t>
      </w:r>
      <w:r w:rsidRPr="000B4C6D">
        <w:rPr>
          <w:sz w:val="26"/>
          <w:szCs w:val="26"/>
        </w:rPr>
        <w:t xml:space="preserve"> декабря</w:t>
      </w:r>
      <w:proofErr w:type="gramEnd"/>
      <w:r w:rsidRPr="000B4C6D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0B4C6D">
        <w:rPr>
          <w:sz w:val="26"/>
          <w:szCs w:val="26"/>
        </w:rPr>
        <w:t xml:space="preserve"> года, для участия в Специальной военной операции на территориях Украины, Донецкой Народной Республики и Луганской Народной Республики</w:t>
      </w:r>
      <w:r w:rsidRPr="000B4C6D">
        <w:rPr>
          <w:color w:val="000000"/>
          <w:sz w:val="26"/>
          <w:szCs w:val="26"/>
          <w:lang w:bidi="ru-RU"/>
        </w:rPr>
        <w:t>»;</w:t>
      </w:r>
    </w:p>
    <w:p w:rsidR="008724F8" w:rsidRPr="008724F8" w:rsidRDefault="008724F8" w:rsidP="008724F8">
      <w:pPr>
        <w:pStyle w:val="a6"/>
        <w:widowControl w:val="0"/>
        <w:numPr>
          <w:ilvl w:val="1"/>
          <w:numId w:val="1"/>
        </w:numPr>
        <w:tabs>
          <w:tab w:val="left" w:pos="1379"/>
        </w:tabs>
        <w:spacing w:line="302" w:lineRule="exact"/>
        <w:ind w:left="0" w:firstLine="709"/>
        <w:jc w:val="both"/>
        <w:rPr>
          <w:sz w:val="26"/>
          <w:szCs w:val="26"/>
        </w:rPr>
      </w:pPr>
      <w:r w:rsidRPr="000B4C6D">
        <w:rPr>
          <w:sz w:val="26"/>
          <w:szCs w:val="26"/>
        </w:rPr>
        <w:t xml:space="preserve">Пункт 2.1. </w:t>
      </w:r>
      <w:r>
        <w:rPr>
          <w:sz w:val="26"/>
          <w:szCs w:val="26"/>
        </w:rPr>
        <w:t>Порядка к постановлению</w:t>
      </w:r>
      <w:r w:rsidRPr="000B4C6D">
        <w:rPr>
          <w:sz w:val="26"/>
          <w:szCs w:val="26"/>
        </w:rPr>
        <w:t xml:space="preserve"> изложить в следующей редакции: </w:t>
      </w:r>
      <w:proofErr w:type="gramStart"/>
      <w:r w:rsidRPr="000B4C6D">
        <w:rPr>
          <w:sz w:val="26"/>
          <w:szCs w:val="26"/>
        </w:rPr>
        <w:t xml:space="preserve">«Право на единовременную материальную помощь предоставляется гражданам, призванным из  военного комиссариата Чукотского автономного округа (Анадырского района) 3 разряда и Магаданской области по инициативе и в интересах администрации муниципального образования Билибинский муниципальный район, заключившим контракт о прохождении военной службы с 1 октября 2024 года по </w:t>
      </w:r>
      <w:r>
        <w:rPr>
          <w:sz w:val="26"/>
          <w:szCs w:val="26"/>
        </w:rPr>
        <w:t>31</w:t>
      </w:r>
      <w:r w:rsidRPr="000B4C6D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5</w:t>
      </w:r>
      <w:r w:rsidRPr="000B4C6D">
        <w:rPr>
          <w:sz w:val="26"/>
          <w:szCs w:val="26"/>
        </w:rPr>
        <w:t xml:space="preserve"> года, для участия в Специальной военной операции на территориях Украины, Донецкой Народной Республики</w:t>
      </w:r>
      <w:proofErr w:type="gramEnd"/>
      <w:r w:rsidRPr="000B4C6D">
        <w:rPr>
          <w:sz w:val="26"/>
          <w:szCs w:val="26"/>
        </w:rPr>
        <w:t xml:space="preserve"> и Луганской Народной Республик</w:t>
      </w:r>
      <w:r>
        <w:t xml:space="preserve">. </w:t>
      </w:r>
      <w:r w:rsidRPr="008724F8">
        <w:rPr>
          <w:sz w:val="26"/>
          <w:szCs w:val="26"/>
        </w:rPr>
        <w:t xml:space="preserve">В случае гибели военнослужащего в зоне проведения специальной военной операции, который на момент гибели не получил единовременную материальную помощь от Администрации муниципального образования Билибинский муниципальный район, </w:t>
      </w:r>
      <w:r>
        <w:rPr>
          <w:sz w:val="26"/>
          <w:szCs w:val="26"/>
        </w:rPr>
        <w:t xml:space="preserve">данная дополнительная мера социальной поддержки выплачивается близким родственникам после предоставления </w:t>
      </w:r>
      <w:proofErr w:type="gramStart"/>
      <w:r>
        <w:rPr>
          <w:sz w:val="26"/>
          <w:szCs w:val="26"/>
        </w:rPr>
        <w:t>последними</w:t>
      </w:r>
      <w:proofErr w:type="gramEnd"/>
      <w:r>
        <w:rPr>
          <w:sz w:val="26"/>
          <w:szCs w:val="26"/>
        </w:rPr>
        <w:t xml:space="preserve"> документов, подтверждающих родство»</w:t>
      </w:r>
      <w:r w:rsidRPr="008724F8">
        <w:rPr>
          <w:sz w:val="26"/>
          <w:szCs w:val="26"/>
        </w:rPr>
        <w:t>.</w:t>
      </w:r>
    </w:p>
    <w:p w:rsidR="008724F8" w:rsidRPr="00E76C03" w:rsidRDefault="008724F8" w:rsidP="008724F8">
      <w:pPr>
        <w:pStyle w:val="a6"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78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76C03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724F8" w:rsidRPr="00081F6E" w:rsidRDefault="008724F8" w:rsidP="008724F8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080"/>
          <w:tab w:val="left" w:pos="1136"/>
        </w:tabs>
        <w:ind w:left="0" w:firstLine="780"/>
        <w:jc w:val="both"/>
        <w:rPr>
          <w:sz w:val="26"/>
          <w:szCs w:val="26"/>
        </w:rPr>
      </w:pPr>
      <w:r w:rsidRPr="00081F6E">
        <w:rPr>
          <w:color w:val="000000"/>
          <w:sz w:val="26"/>
          <w:szCs w:val="26"/>
          <w:lang w:bidi="ru-RU"/>
        </w:rPr>
        <w:t>Настоящее постановление вступает в силу со дня его официального опубликования и распространяет своё действие на правоотношения, возникшие с 10 октября 2024 года.</w:t>
      </w:r>
      <w:r w:rsidRPr="00081F6E">
        <w:rPr>
          <w:color w:val="000000"/>
          <w:sz w:val="26"/>
          <w:szCs w:val="26"/>
          <w:lang w:bidi="ru-RU"/>
        </w:rPr>
        <w:tab/>
      </w:r>
    </w:p>
    <w:p w:rsidR="008724F8" w:rsidRPr="00081F6E" w:rsidRDefault="008724F8" w:rsidP="008724F8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080"/>
          <w:tab w:val="left" w:pos="1136"/>
        </w:tabs>
        <w:ind w:left="0" w:firstLine="780"/>
        <w:jc w:val="both"/>
        <w:rPr>
          <w:sz w:val="26"/>
          <w:szCs w:val="26"/>
        </w:rPr>
      </w:pPr>
      <w:proofErr w:type="gramStart"/>
      <w:r w:rsidRPr="00081F6E">
        <w:rPr>
          <w:sz w:val="26"/>
          <w:szCs w:val="26"/>
        </w:rPr>
        <w:t>Контроль за</w:t>
      </w:r>
      <w:proofErr w:type="gramEnd"/>
      <w:r w:rsidRPr="00081F6E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Pr="00081F6E">
        <w:rPr>
          <w:sz w:val="26"/>
          <w:szCs w:val="26"/>
        </w:rPr>
        <w:t>Гизбрехта</w:t>
      </w:r>
      <w:proofErr w:type="spellEnd"/>
      <w:r w:rsidRPr="00081F6E">
        <w:rPr>
          <w:sz w:val="26"/>
          <w:szCs w:val="26"/>
        </w:rPr>
        <w:t xml:space="preserve"> В.В.</w:t>
      </w:r>
    </w:p>
    <w:p w:rsidR="008724F8" w:rsidRPr="00081F6E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Pr="00054ABF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  <w:r w:rsidRPr="00054ABF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054ABF">
        <w:rPr>
          <w:sz w:val="26"/>
          <w:szCs w:val="26"/>
        </w:rPr>
        <w:t xml:space="preserve"> Администрации</w:t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4ABF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  <w:t xml:space="preserve">      </w:t>
      </w:r>
      <w:r w:rsidRPr="00054ABF">
        <w:rPr>
          <w:sz w:val="26"/>
          <w:szCs w:val="26"/>
        </w:rPr>
        <w:t xml:space="preserve"> </w:t>
      </w:r>
      <w:r>
        <w:rPr>
          <w:sz w:val="26"/>
          <w:szCs w:val="26"/>
        </w:rPr>
        <w:t>Е.З. Сафонов</w:t>
      </w: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8724F8" w:rsidRDefault="008724F8" w:rsidP="008724F8">
      <w:pPr>
        <w:tabs>
          <w:tab w:val="left" w:pos="-3960"/>
          <w:tab w:val="left" w:pos="1080"/>
        </w:tabs>
        <w:rPr>
          <w:sz w:val="26"/>
          <w:szCs w:val="26"/>
        </w:rPr>
      </w:pPr>
      <w:bookmarkStart w:id="0" w:name="_GoBack"/>
      <w:bookmarkEnd w:id="0"/>
    </w:p>
    <w:sectPr w:rsidR="008724F8" w:rsidSect="00B1169A">
      <w:headerReference w:type="even" r:id="rId9"/>
      <w:headerReference w:type="default" r:id="rId10"/>
      <w:pgSz w:w="11906" w:h="16838"/>
      <w:pgMar w:top="851" w:right="56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77" w:rsidRDefault="00326577">
      <w:r>
        <w:separator/>
      </w:r>
    </w:p>
  </w:endnote>
  <w:endnote w:type="continuationSeparator" w:id="0">
    <w:p w:rsidR="00326577" w:rsidRDefault="0032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77" w:rsidRDefault="00326577">
      <w:r>
        <w:separator/>
      </w:r>
    </w:p>
  </w:footnote>
  <w:footnote w:type="continuationSeparator" w:id="0">
    <w:p w:rsidR="00326577" w:rsidRDefault="00326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Default="006F0096" w:rsidP="00CE6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DFB" w:rsidRDefault="003265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Pr="00703ED1" w:rsidRDefault="00326577" w:rsidP="00CE6091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727DFB" w:rsidRDefault="00326577" w:rsidP="006E55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2213A"/>
    <w:multiLevelType w:val="multilevel"/>
    <w:tmpl w:val="0EB49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F8"/>
    <w:rsid w:val="0007412E"/>
    <w:rsid w:val="00326577"/>
    <w:rsid w:val="006F0096"/>
    <w:rsid w:val="00801F98"/>
    <w:rsid w:val="008724F8"/>
    <w:rsid w:val="00D71EA1"/>
    <w:rsid w:val="00E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24F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724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724F8"/>
  </w:style>
  <w:style w:type="character" w:customStyle="1" w:styleId="2">
    <w:name w:val="Основной текст (2) + Полужирный"/>
    <w:rsid w:val="00872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8724F8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8724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724F8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724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4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24F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724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724F8"/>
  </w:style>
  <w:style w:type="character" w:customStyle="1" w:styleId="2">
    <w:name w:val="Основной текст (2) + Полужирный"/>
    <w:rsid w:val="00872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8724F8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8724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724F8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724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4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406</dc:creator>
  <cp:lastModifiedBy>PC 312</cp:lastModifiedBy>
  <cp:revision>2</cp:revision>
  <dcterms:created xsi:type="dcterms:W3CDTF">2025-12-26T02:40:00Z</dcterms:created>
  <dcterms:modified xsi:type="dcterms:W3CDTF">2025-12-28T22:40:00Z</dcterms:modified>
</cp:coreProperties>
</file>